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88BC" w14:textId="05678640" w:rsidR="00DC1BBC" w:rsidRPr="006074B6" w:rsidRDefault="006074B6">
      <w:pPr>
        <w:spacing w:after="20"/>
        <w:jc w:val="center"/>
        <w:rPr>
          <w:color w:val="000000" w:themeColor="text1"/>
          <w:lang w:val="es-ES_tradnl"/>
        </w:rPr>
      </w:pPr>
      <w:r w:rsidRPr="006074B6">
        <w:rPr>
          <w:rFonts w:ascii="Calibri" w:hAnsi="Calibri"/>
          <w:b/>
          <w:color w:val="000000" w:themeColor="text1"/>
          <w:sz w:val="28"/>
          <w:lang w:val="es-ES_tradnl"/>
        </w:rPr>
        <w:t xml:space="preserve">MÓDULO 1. </w:t>
      </w:r>
      <w:r w:rsidR="00000000" w:rsidRPr="006074B6">
        <w:rPr>
          <w:rFonts w:ascii="Calibri" w:hAnsi="Calibri"/>
          <w:b/>
          <w:color w:val="000000" w:themeColor="text1"/>
          <w:sz w:val="28"/>
          <w:lang w:val="es-ES_tradnl"/>
        </w:rPr>
        <w:t>CASO PEDAGOGICO</w:t>
      </w:r>
    </w:p>
    <w:p w14:paraId="1A49499E" w14:textId="77777777" w:rsidR="006074B6" w:rsidRPr="006074B6" w:rsidRDefault="006074B6">
      <w:pPr>
        <w:spacing w:before="40" w:after="60"/>
        <w:rPr>
          <w:rFonts w:ascii="Calibri" w:hAnsi="Calibri"/>
          <w:color w:val="000000" w:themeColor="text1"/>
          <w:sz w:val="17"/>
          <w:lang w:val="es-ES_tradnl"/>
        </w:rPr>
      </w:pPr>
    </w:p>
    <w:p w14:paraId="7E8F294C" w14:textId="2B109051" w:rsidR="00DC1BBC" w:rsidRPr="006074B6" w:rsidRDefault="00000000">
      <w:pPr>
        <w:spacing w:after="80"/>
        <w:rPr>
          <w:color w:val="000000" w:themeColor="text1"/>
          <w:lang w:val="es-ES_tradnl"/>
        </w:rPr>
      </w:pPr>
      <w:r w:rsidRPr="006074B6">
        <w:rPr>
          <w:rFonts w:ascii="Calibri" w:hAnsi="Calibri"/>
          <w:color w:val="000000" w:themeColor="text1"/>
          <w:sz w:val="19"/>
          <w:lang w:val="es-ES_tradnl"/>
        </w:rPr>
        <w:t>Es comienzos de marzo en la I.E. Nuevo Horizonte. El a</w:t>
      </w:r>
      <w:r w:rsidR="006074B6">
        <w:rPr>
          <w:rFonts w:ascii="Calibri" w:hAnsi="Calibri"/>
          <w:color w:val="000000" w:themeColor="text1"/>
          <w:sz w:val="19"/>
          <w:lang w:val="es-ES_tradnl"/>
        </w:rPr>
        <w:t>ñ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o escolar lleva apenas cuatro semanas, pero docentes y familias han comenzado a registrar algo que no cuadra con lo prometido: las porciones del almuerzo son visiblemente menores a las indicadas en </w:t>
      </w:r>
      <w:r w:rsidR="006074B6">
        <w:rPr>
          <w:rFonts w:ascii="Calibri" w:hAnsi="Calibri"/>
          <w:color w:val="000000" w:themeColor="text1"/>
          <w:sz w:val="19"/>
          <w:lang w:val="es-ES_tradnl"/>
        </w:rPr>
        <w:t xml:space="preserve">el ciclo de menú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aprobad</w:t>
      </w:r>
      <w:r w:rsidR="006074B6">
        <w:rPr>
          <w:rFonts w:ascii="Calibri" w:hAnsi="Calibri"/>
          <w:color w:val="000000" w:themeColor="text1"/>
          <w:sz w:val="19"/>
          <w:lang w:val="es-ES_tradnl"/>
        </w:rPr>
        <w:t>o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por la ETC, algunos </w:t>
      </w:r>
      <w:r w:rsidR="006074B6">
        <w:rPr>
          <w:rFonts w:ascii="Calibri" w:hAnsi="Calibri"/>
          <w:color w:val="000000" w:themeColor="text1"/>
          <w:sz w:val="19"/>
          <w:lang w:val="es-ES_tradnl"/>
        </w:rPr>
        <w:t>empaques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los alimentos llegan deteriorados con signos de humedad o golpes, y nadie ha podido consultar </w:t>
      </w:r>
      <w:r w:rsidR="006074B6">
        <w:rPr>
          <w:rFonts w:ascii="Calibri" w:hAnsi="Calibri"/>
          <w:color w:val="000000" w:themeColor="text1"/>
          <w:sz w:val="19"/>
          <w:lang w:val="es-ES_tradnl"/>
        </w:rPr>
        <w:t>el ciclo de menú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, </w:t>
      </w:r>
      <w:r w:rsidR="006074B6">
        <w:rPr>
          <w:rFonts w:ascii="Calibri" w:hAnsi="Calibri"/>
          <w:color w:val="000000" w:themeColor="text1"/>
          <w:sz w:val="19"/>
          <w:lang w:val="es-ES_tradnl"/>
        </w:rPr>
        <w:t>en donde se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describe con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precisión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que, cuanto y como debe entregarse el complemento alimentario, porque el operador no la ha publicado ni en carteleras ni en medios digitales de la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institución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.</w:t>
      </w:r>
    </w:p>
    <w:p w14:paraId="5530503B" w14:textId="6A2B5727" w:rsidR="00DC1BBC" w:rsidRPr="006074B6" w:rsidRDefault="00000000">
      <w:pPr>
        <w:spacing w:after="80"/>
        <w:rPr>
          <w:color w:val="000000" w:themeColor="text1"/>
          <w:lang w:val="es-ES_tradnl"/>
        </w:rPr>
      </w:pP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La coordinadora escolar, Marcela Ospina, ha escuchado a tres docentes en menos de una semana: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niños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que regresan al aula con hambre, estudiantes de los grados inferiores que rechazan el plato porque la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preparación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llega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fría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, y una madre que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encontró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un empaque roto con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señales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humedad entre los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víveres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descargados en el patio. Las quejas no son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anecdóticas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: siguen un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patrón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. Marcela lo sabe, y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también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sabe que un reclamo aislado no cambia nada. Acaba de cursar el </w:t>
      </w:r>
      <w:proofErr w:type="spellStart"/>
      <w:r w:rsidRPr="006074B6">
        <w:rPr>
          <w:rFonts w:ascii="Calibri" w:hAnsi="Calibri"/>
          <w:color w:val="000000" w:themeColor="text1"/>
          <w:sz w:val="19"/>
          <w:lang w:val="es-ES_tradnl"/>
        </w:rPr>
        <w:t>Modulo</w:t>
      </w:r>
      <w:proofErr w:type="spellEnd"/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1 del programa de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formación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en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Participación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Ciudadana y Control Social del PAE, y tiene claro </w:t>
      </w:r>
      <w:proofErr w:type="spellStart"/>
      <w:r w:rsidRPr="006074B6">
        <w:rPr>
          <w:rFonts w:ascii="Calibri" w:hAnsi="Calibri"/>
          <w:color w:val="000000" w:themeColor="text1"/>
          <w:sz w:val="19"/>
          <w:lang w:val="es-ES_tradnl"/>
        </w:rPr>
        <w:t>cual</w:t>
      </w:r>
      <w:proofErr w:type="spellEnd"/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es el primer paso: convocar al CAE y articular las instancias formales de control social que la norma pone a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disposición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la comunidad educativa.</w:t>
      </w:r>
    </w:p>
    <w:p w14:paraId="3982B86F" w14:textId="6E91E20F" w:rsidR="00DC1BBC" w:rsidRPr="006074B6" w:rsidRDefault="00000000">
      <w:pPr>
        <w:spacing w:after="100"/>
        <w:rPr>
          <w:color w:val="000000" w:themeColor="text1"/>
          <w:lang w:val="es-ES_tradnl"/>
        </w:rPr>
      </w:pP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Marcela recuerda una frase del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módulo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: </w:t>
      </w:r>
      <w:r w:rsidRPr="006074B6">
        <w:rPr>
          <w:rFonts w:ascii="Calibri" w:hAnsi="Calibri"/>
          <w:i/>
          <w:color w:val="000000" w:themeColor="text1"/>
          <w:sz w:val="19"/>
          <w:lang w:val="es-ES_tradnl"/>
        </w:rPr>
        <w:t xml:space="preserve">La </w:t>
      </w:r>
      <w:r w:rsidR="006074B6" w:rsidRPr="006074B6">
        <w:rPr>
          <w:rFonts w:ascii="Calibri" w:hAnsi="Calibri"/>
          <w:i/>
          <w:color w:val="000000" w:themeColor="text1"/>
          <w:sz w:val="19"/>
          <w:lang w:val="es-ES_tradnl"/>
        </w:rPr>
        <w:t>participación</w:t>
      </w:r>
      <w:r w:rsidRPr="006074B6">
        <w:rPr>
          <w:rFonts w:ascii="Calibri" w:hAnsi="Calibri"/>
          <w:i/>
          <w:color w:val="000000" w:themeColor="text1"/>
          <w:sz w:val="19"/>
          <w:lang w:val="es-ES_tradnl"/>
        </w:rPr>
        <w:t xml:space="preserve"> ciudadana no es un </w:t>
      </w:r>
      <w:r w:rsidR="006074B6" w:rsidRPr="006074B6">
        <w:rPr>
          <w:rFonts w:ascii="Calibri" w:hAnsi="Calibri"/>
          <w:i/>
          <w:color w:val="000000" w:themeColor="text1"/>
          <w:sz w:val="19"/>
          <w:lang w:val="es-ES_tradnl"/>
        </w:rPr>
        <w:t>trámite</w:t>
      </w:r>
      <w:r w:rsidRPr="006074B6">
        <w:rPr>
          <w:rFonts w:ascii="Calibri" w:hAnsi="Calibri"/>
          <w:i/>
          <w:color w:val="000000" w:themeColor="text1"/>
          <w:sz w:val="19"/>
          <w:lang w:val="es-ES_tradnl"/>
        </w:rPr>
        <w:t xml:space="preserve"> ni una formalidad. Es el ejercicio real de la democracia en tu comunidad.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Ese principio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guía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lo que viene.</w:t>
      </w:r>
    </w:p>
    <w:p w14:paraId="52ADED06" w14:textId="77777777" w:rsidR="006074B6" w:rsidRDefault="006074B6">
      <w:pPr>
        <w:spacing w:after="80"/>
        <w:rPr>
          <w:rFonts w:ascii="Calibri" w:hAnsi="Calibri"/>
          <w:b/>
          <w:color w:val="000000" w:themeColor="text1"/>
          <w:sz w:val="21"/>
          <w:lang w:val="es-ES_tradnl"/>
        </w:rPr>
      </w:pPr>
    </w:p>
    <w:p w14:paraId="42F42BBD" w14:textId="39AF2FE4" w:rsidR="00DC1BBC" w:rsidRPr="006074B6" w:rsidRDefault="006074B6">
      <w:pPr>
        <w:spacing w:after="80"/>
        <w:rPr>
          <w:color w:val="000000" w:themeColor="text1"/>
          <w:lang w:val="es-ES_tradnl"/>
        </w:rPr>
      </w:pPr>
      <w:r>
        <w:rPr>
          <w:rFonts w:ascii="Calibri" w:hAnsi="Calibri"/>
          <w:color w:val="000000" w:themeColor="text1"/>
          <w:sz w:val="19"/>
          <w:lang w:val="es-ES_tradnl"/>
        </w:rPr>
        <w:t>de acuerdo con esto, el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CAE de la I.E. Nuevo Horizonte se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reúne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al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día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siguiente de la convocatoria de Marcela. Participan el rector como presidente, dos representantes de familias, entre ellas Sofia Duque presidenta de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Asociación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de Padres, una docente y </w:t>
      </w:r>
      <w:r>
        <w:rPr>
          <w:rFonts w:ascii="Calibri" w:hAnsi="Calibri"/>
          <w:color w:val="000000" w:themeColor="text1"/>
          <w:sz w:val="19"/>
          <w:lang w:val="es-ES_tradnl"/>
        </w:rPr>
        <w:t>el personero y la contralora estudiantil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. El operador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envía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su delegado. Es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composición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mínima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exigida por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Resolución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003/2026, y el acta se elabora con el formato del Anexo 7 de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Resolución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0155/2026.</w:t>
      </w:r>
    </w:p>
    <w:p w14:paraId="2C3EBA0B" w14:textId="554B14DE" w:rsidR="00DC1BBC" w:rsidRPr="006074B6" w:rsidRDefault="00000000">
      <w:pPr>
        <w:spacing w:after="80"/>
        <w:rPr>
          <w:color w:val="000000" w:themeColor="text1"/>
          <w:lang w:val="es-ES_tradnl"/>
        </w:rPr>
      </w:pP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El CAE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actúa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en la </w:t>
      </w:r>
      <w:r w:rsidR="006074B6" w:rsidRPr="006074B6">
        <w:rPr>
          <w:rFonts w:ascii="Calibri" w:hAnsi="Calibri"/>
          <w:b/>
          <w:color w:val="000000" w:themeColor="text1"/>
          <w:sz w:val="19"/>
          <w:lang w:val="es-ES_tradnl"/>
        </w:rPr>
        <w:t>dimensión</w:t>
      </w:r>
      <w:r w:rsidRPr="006074B6">
        <w:rPr>
          <w:rFonts w:ascii="Calibri" w:hAnsi="Calibri"/>
          <w:b/>
          <w:color w:val="000000" w:themeColor="text1"/>
          <w:sz w:val="19"/>
          <w:lang w:val="es-ES_tradnl"/>
        </w:rPr>
        <w:t xml:space="preserve"> administrativa de la </w:t>
      </w:r>
      <w:r w:rsidR="006074B6" w:rsidRPr="006074B6">
        <w:rPr>
          <w:rFonts w:ascii="Calibri" w:hAnsi="Calibri"/>
          <w:b/>
          <w:color w:val="000000" w:themeColor="text1"/>
          <w:sz w:val="19"/>
          <w:lang w:val="es-ES_tradnl"/>
        </w:rPr>
        <w:t>participación</w:t>
      </w:r>
      <w:r w:rsidRPr="006074B6">
        <w:rPr>
          <w:rFonts w:ascii="Calibri" w:hAnsi="Calibri"/>
          <w:b/>
          <w:color w:val="000000" w:themeColor="text1"/>
          <w:sz w:val="19"/>
          <w:lang w:val="es-ES_tradnl"/>
        </w:rPr>
        <w:t xml:space="preserve"> ciudadana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, una de las tres dimensiones descritas en el </w:t>
      </w:r>
      <w:proofErr w:type="spellStart"/>
      <w:r w:rsidRPr="006074B6">
        <w:rPr>
          <w:rFonts w:ascii="Calibri" w:hAnsi="Calibri"/>
          <w:color w:val="000000" w:themeColor="text1"/>
          <w:sz w:val="19"/>
          <w:lang w:val="es-ES_tradnl"/>
        </w:rPr>
        <w:t>Modulo</w:t>
      </w:r>
      <w:proofErr w:type="spellEnd"/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1, interviniendo en el seguimiento de la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gestión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publica y el uso de los recursos. Recopilan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información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forma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sistemática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: verifican registros de entrega, comparan porciones servidas con el ciclo de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menús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aprobado e identifican las fechas en que los embalajes llegaron en mal estado. Todo queda en actas firmadas, con registro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fotográfico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autorizado. En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ningún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momento se toman fotos que involucren a estudiantes sin consentimiento informado de sus cuidadores, ni se ingresa a zonas de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preparación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alimentos sin cumplir los protocolos de inocuidad.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Así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lo exige el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módulo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: los NNA son sujetos de especial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protección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constitucional y ese principio no se negocia en el ejercicio del control social.</w:t>
      </w:r>
    </w:p>
    <w:p w14:paraId="7D73FD4D" w14:textId="2405714B" w:rsidR="00DC1BBC" w:rsidRPr="006074B6" w:rsidRDefault="00000000">
      <w:pPr>
        <w:spacing w:after="100"/>
        <w:rPr>
          <w:color w:val="000000" w:themeColor="text1"/>
          <w:lang w:val="es-ES_tradnl"/>
        </w:rPr>
      </w:pP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Ante la falta de respuesta del operador y la ausencia de la Ficha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Técnica</w:t>
      </w:r>
      <w:r w:rsidR="006074B6">
        <w:rPr>
          <w:rFonts w:ascii="Calibri" w:hAnsi="Calibri"/>
          <w:color w:val="000000" w:themeColor="text1"/>
          <w:sz w:val="19"/>
          <w:lang w:val="es-ES_tradnl"/>
        </w:rPr>
        <w:t xml:space="preserve"> y el ciclo de menú que la norma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obliga a publicar de forma proactiva, el CAE presenta un </w:t>
      </w:r>
      <w:r w:rsidRPr="006074B6">
        <w:rPr>
          <w:rFonts w:ascii="Calibri" w:hAnsi="Calibri"/>
          <w:b/>
          <w:color w:val="000000" w:themeColor="text1"/>
          <w:sz w:val="19"/>
          <w:lang w:val="es-ES_tradnl"/>
        </w:rPr>
        <w:t xml:space="preserve">Derecho de </w:t>
      </w:r>
      <w:r w:rsidR="006074B6" w:rsidRPr="006074B6">
        <w:rPr>
          <w:rFonts w:ascii="Calibri" w:hAnsi="Calibri"/>
          <w:b/>
          <w:color w:val="000000" w:themeColor="text1"/>
          <w:sz w:val="19"/>
          <w:lang w:val="es-ES_tradnl"/>
        </w:rPr>
        <w:t>Petición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ante la ETC, amparado en la Ley 1755 de 2015: solicita copia del contrato con el operador, los registros de entrega y los informes de control de calidad. La ETC tiene 15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días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hábiles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para responder. El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módulo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es claro: el acceso a la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información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publica es </w:t>
      </w:r>
      <w:r w:rsidR="006074B6" w:rsidRPr="006074B6">
        <w:rPr>
          <w:rFonts w:ascii="Calibri" w:hAnsi="Calibri"/>
          <w:color w:val="000000" w:themeColor="text1"/>
          <w:sz w:val="19"/>
          <w:lang w:val="es-ES_tradnl"/>
        </w:rPr>
        <w:t>condición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indispensable para el ejercicio efectivo del control social.</w:t>
      </w:r>
    </w:p>
    <w:p w14:paraId="7C6E35DA" w14:textId="4FCC2CCF" w:rsidR="00DC1BBC" w:rsidRPr="006074B6" w:rsidRDefault="006074B6">
      <w:pPr>
        <w:spacing w:after="100"/>
        <w:rPr>
          <w:color w:val="000000" w:themeColor="text1"/>
          <w:lang w:val="es-ES_tradnl"/>
        </w:rPr>
      </w:pPr>
      <w:r>
        <w:rPr>
          <w:rFonts w:ascii="Calibri" w:hAnsi="Calibri"/>
          <w:color w:val="000000" w:themeColor="text1"/>
          <w:sz w:val="19"/>
          <w:lang w:val="es-ES_tradnl"/>
        </w:rPr>
        <w:t>De manera simultánea, S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ofia comparte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situación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con una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organización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comunitaria del municipio que ha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acompañado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procesos de vigilancia de programas sociales. Juntos conforman una </w:t>
      </w:r>
      <w:r w:rsidRPr="006074B6">
        <w:rPr>
          <w:rFonts w:ascii="Calibri" w:hAnsi="Calibri"/>
          <w:b/>
          <w:color w:val="000000" w:themeColor="text1"/>
          <w:sz w:val="19"/>
          <w:lang w:val="es-ES_tradnl"/>
        </w:rPr>
        <w:t>Veeduría</w:t>
      </w:r>
      <w:r w:rsidR="00000000" w:rsidRPr="006074B6">
        <w:rPr>
          <w:rFonts w:ascii="Calibri" w:hAnsi="Calibri"/>
          <w:b/>
          <w:color w:val="000000" w:themeColor="text1"/>
          <w:sz w:val="19"/>
          <w:lang w:val="es-ES_tradnl"/>
        </w:rPr>
        <w:t xml:space="preserve"> Ciudadana del PAE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, siguiendo el procedimiento de la Ley 850 de 2003 e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inscribiéndose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ante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Personería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Municipal. El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Módulo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1 distingue con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precisión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estos mecanismos: el control social es el concepto amplio;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veeduría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ciudadana es su forma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más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formalizada y constituida legalmente.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veeduría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coordina visitas a los puntos de almacenamiento del operador: registran temperaturas de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recepción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, verifican condiciones de embalajes y levantan actas de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observación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, siempre respetando los protocolos de inocuidad y la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protección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 xml:space="preserve"> de los NNA. El control social responsable, recuerda el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>módulo</w:t>
      </w:r>
      <w:r w:rsidR="00000000" w:rsidRPr="006074B6">
        <w:rPr>
          <w:rFonts w:ascii="Calibri" w:hAnsi="Calibri"/>
          <w:color w:val="000000" w:themeColor="text1"/>
          <w:sz w:val="19"/>
          <w:lang w:val="es-ES_tradnl"/>
        </w:rPr>
        <w:t>, se ejerce con respeto, objetividad y buena fe.</w:t>
      </w:r>
    </w:p>
    <w:p w14:paraId="5CDD754D" w14:textId="50AA7309" w:rsidR="00DC1BBC" w:rsidRPr="006074B6" w:rsidRDefault="00000000">
      <w:pPr>
        <w:spacing w:after="100"/>
        <w:rPr>
          <w:color w:val="000000" w:themeColor="text1"/>
          <w:lang w:val="es-ES_tradnl"/>
        </w:rPr>
      </w:pP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Con </w:t>
      </w:r>
      <w:r w:rsidR="009F7A99">
        <w:rPr>
          <w:rFonts w:ascii="Calibri" w:hAnsi="Calibri"/>
          <w:color w:val="000000" w:themeColor="text1"/>
          <w:sz w:val="19"/>
          <w:lang w:val="es-ES_tradnl"/>
        </w:rPr>
        <w:t>todo esto documentado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, actas del CAE, respuesta al Derecho de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Petición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, registros de entrega y evidencia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fotográfica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autorizada, el CAE y la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Veeduría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solicitan formalmente la convocatoria de una </w:t>
      </w:r>
      <w:r w:rsidRPr="006074B6">
        <w:rPr>
          <w:rFonts w:ascii="Calibri" w:hAnsi="Calibri"/>
          <w:b/>
          <w:color w:val="000000" w:themeColor="text1"/>
          <w:sz w:val="19"/>
          <w:lang w:val="es-ES_tradnl"/>
        </w:rPr>
        <w:t xml:space="preserve">Mesa Publica de </w:t>
      </w:r>
      <w:r w:rsidR="009F7A99" w:rsidRPr="006074B6">
        <w:rPr>
          <w:rFonts w:ascii="Calibri" w:hAnsi="Calibri"/>
          <w:b/>
          <w:color w:val="000000" w:themeColor="text1"/>
          <w:sz w:val="19"/>
          <w:lang w:val="es-ES_tradnl"/>
        </w:rPr>
        <w:t>Participación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. La ETC la convoca con 15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días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anticipación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. Asisten familias, docentes, estudiantes, la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secretaria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Educación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, el operador y un representante de la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personería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. La ETC cumple su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obligación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</w:t>
      </w:r>
      <w:r w:rsidR="009F7A99" w:rsidRPr="006074B6">
        <w:rPr>
          <w:rFonts w:ascii="Calibri" w:hAnsi="Calibri"/>
          <w:b/>
          <w:color w:val="000000" w:themeColor="text1"/>
          <w:sz w:val="19"/>
          <w:lang w:val="es-ES_tradnl"/>
        </w:rPr>
        <w:t>rendición</w:t>
      </w:r>
      <w:r w:rsidRPr="006074B6">
        <w:rPr>
          <w:rFonts w:ascii="Calibri" w:hAnsi="Calibri"/>
          <w:b/>
          <w:color w:val="000000" w:themeColor="text1"/>
          <w:sz w:val="19"/>
          <w:lang w:val="es-ES_tradnl"/>
        </w:rPr>
        <w:t xml:space="preserve"> de cuentas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: presenta informes de compras, cronograma de entregas y medidas de control. El CAE expone sus hallazgos. La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Veeduría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presenta sus actas. En el espacio de preguntas queda en evidencia que el proveedor cambio insumos sin notificar a la ETC ni garantizar la inocuidad, incumpliendo </w:t>
      </w:r>
      <w:r w:rsidR="009F7A99">
        <w:rPr>
          <w:rFonts w:ascii="Calibri" w:hAnsi="Calibri"/>
          <w:color w:val="000000" w:themeColor="text1"/>
          <w:sz w:val="19"/>
          <w:lang w:val="es-ES_tradnl"/>
        </w:rPr>
        <w:t>la normatividad asociada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. La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secretaria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Educación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ordena una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verificación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técnica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y exige correctivos al operador. Como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lastRenderedPageBreak/>
        <w:t>ense</w:t>
      </w:r>
      <w:r w:rsidR="009F7A99">
        <w:rPr>
          <w:rFonts w:ascii="Calibri" w:hAnsi="Calibri"/>
          <w:color w:val="000000" w:themeColor="text1"/>
          <w:sz w:val="19"/>
          <w:lang w:val="es-ES_tradnl"/>
        </w:rPr>
        <w:t>ñ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a el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módulo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: los ciudadanos reportan, las entidades competentes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actúan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. El control social es el primer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eslabón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de la cadena de vigilancia, no el ultimo.</w:t>
      </w:r>
    </w:p>
    <w:p w14:paraId="4A9EFBD3" w14:textId="495E9DC5" w:rsidR="00DC1BBC" w:rsidRPr="006074B6" w:rsidRDefault="00000000" w:rsidP="009F7A99">
      <w:pPr>
        <w:spacing w:before="60" w:after="100"/>
        <w:ind w:left="170" w:right="170"/>
        <w:rPr>
          <w:color w:val="000000" w:themeColor="text1"/>
          <w:lang w:val="es-ES_tradnl"/>
        </w:rPr>
      </w:pPr>
      <w:r w:rsidRPr="006074B6">
        <w:rPr>
          <w:rFonts w:ascii="Calibri" w:hAnsi="Calibri"/>
          <w:b/>
          <w:color w:val="000000" w:themeColor="text1"/>
          <w:sz w:val="19"/>
          <w:lang w:val="es-ES_tradnl"/>
        </w:rPr>
        <w:t xml:space="preserve">Resultado:  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El operador ajusta la cadena de suministro y corrige los gramajes. La ETC </w:t>
      </w:r>
      <w:r w:rsidR="009F7A99">
        <w:rPr>
          <w:rFonts w:ascii="Calibri" w:hAnsi="Calibri"/>
          <w:color w:val="000000" w:themeColor="text1"/>
          <w:sz w:val="19"/>
          <w:lang w:val="es-ES_tradnl"/>
        </w:rPr>
        <w:t>exige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la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publicación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proactiva de la Ficha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Técnica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y los ciclos de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menú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(Ley 1712/2014). Se acuerda un cronograma de seguimiento conjunto. La comunidad de Nuevo Horizonte comprueba que la </w:t>
      </w:r>
      <w:r w:rsidR="009F7A99" w:rsidRPr="006074B6">
        <w:rPr>
          <w:rFonts w:ascii="Calibri" w:hAnsi="Calibri"/>
          <w:color w:val="000000" w:themeColor="text1"/>
          <w:sz w:val="19"/>
          <w:lang w:val="es-ES_tradnl"/>
        </w:rPr>
        <w:t>participación</w:t>
      </w:r>
      <w:r w:rsidRPr="006074B6">
        <w:rPr>
          <w:rFonts w:ascii="Calibri" w:hAnsi="Calibri"/>
          <w:color w:val="000000" w:themeColor="text1"/>
          <w:sz w:val="19"/>
          <w:lang w:val="es-ES_tradnl"/>
        </w:rPr>
        <w:t xml:space="preserve"> ciudadana organizada y fundamentada en la norma si transforma la realidad del PAE</w:t>
      </w:r>
      <w:r w:rsidR="009F7A99">
        <w:rPr>
          <w:rFonts w:ascii="Calibri" w:hAnsi="Calibri"/>
          <w:color w:val="000000" w:themeColor="text1"/>
          <w:sz w:val="19"/>
          <w:lang w:val="es-ES_tradnl"/>
        </w:rPr>
        <w:t>.</w:t>
      </w:r>
    </w:p>
    <w:p w14:paraId="4FBE1B24" w14:textId="77777777" w:rsidR="009F7A99" w:rsidRDefault="009F7A99">
      <w:pPr>
        <w:spacing w:after="60"/>
        <w:rPr>
          <w:rFonts w:ascii="Calibri" w:hAnsi="Calibri"/>
          <w:b/>
          <w:color w:val="000000" w:themeColor="text1"/>
          <w:sz w:val="19"/>
          <w:lang w:val="es-ES_tradnl"/>
        </w:rPr>
      </w:pPr>
    </w:p>
    <w:p w14:paraId="502F9908" w14:textId="5F22A919" w:rsidR="00DC1BBC" w:rsidRDefault="009F7A99">
      <w:pPr>
        <w:spacing w:after="60"/>
        <w:rPr>
          <w:rFonts w:ascii="Calibri" w:hAnsi="Calibri"/>
          <w:b/>
          <w:color w:val="000000" w:themeColor="text1"/>
          <w:sz w:val="19"/>
          <w:lang w:val="es-ES_tradnl"/>
        </w:rPr>
      </w:pPr>
      <w:r w:rsidRPr="006074B6">
        <w:rPr>
          <w:rFonts w:ascii="Calibri" w:hAnsi="Calibri"/>
          <w:b/>
          <w:color w:val="000000" w:themeColor="text1"/>
          <w:sz w:val="19"/>
          <w:lang w:val="es-ES_tradnl"/>
        </w:rPr>
        <w:t>Síntesis</w:t>
      </w:r>
      <w:r w:rsidR="00000000" w:rsidRPr="006074B6">
        <w:rPr>
          <w:rFonts w:ascii="Calibri" w:hAnsi="Calibri"/>
          <w:b/>
          <w:color w:val="000000" w:themeColor="text1"/>
          <w:sz w:val="19"/>
          <w:lang w:val="es-ES_tradnl"/>
        </w:rPr>
        <w:t xml:space="preserve"> </w:t>
      </w:r>
    </w:p>
    <w:p w14:paraId="68237A05" w14:textId="77777777" w:rsidR="009F7A99" w:rsidRPr="006074B6" w:rsidRDefault="009F7A99">
      <w:pPr>
        <w:spacing w:after="60"/>
        <w:rPr>
          <w:color w:val="000000" w:themeColor="text1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05"/>
        <w:gridCol w:w="5102"/>
      </w:tblGrid>
      <w:tr w:rsidR="00DC1BBC" w:rsidRPr="006074B6" w14:paraId="1A4779EE" w14:textId="77777777" w:rsidTr="009F7A99">
        <w:tc>
          <w:tcPr>
            <w:tcW w:w="3005" w:type="dxa"/>
          </w:tcPr>
          <w:p w14:paraId="4D0E9768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b/>
                <w:color w:val="000000" w:themeColor="text1"/>
                <w:sz w:val="17"/>
                <w:lang w:val="es-ES_tradnl"/>
              </w:rPr>
              <w:t xml:space="preserve">Contenido del </w:t>
            </w:r>
            <w:proofErr w:type="spellStart"/>
            <w:r w:rsidRPr="006074B6">
              <w:rPr>
                <w:rFonts w:ascii="Calibri" w:hAnsi="Calibri"/>
                <w:b/>
                <w:color w:val="000000" w:themeColor="text1"/>
                <w:sz w:val="17"/>
                <w:lang w:val="es-ES_tradnl"/>
              </w:rPr>
              <w:t>Modulo</w:t>
            </w:r>
            <w:proofErr w:type="spellEnd"/>
            <w:r w:rsidRPr="006074B6">
              <w:rPr>
                <w:rFonts w:ascii="Calibri" w:hAnsi="Calibri"/>
                <w:b/>
                <w:color w:val="000000" w:themeColor="text1"/>
                <w:sz w:val="17"/>
                <w:lang w:val="es-ES_tradnl"/>
              </w:rPr>
              <w:t xml:space="preserve"> 1</w:t>
            </w:r>
          </w:p>
        </w:tc>
        <w:tc>
          <w:tcPr>
            <w:tcW w:w="5102" w:type="dxa"/>
          </w:tcPr>
          <w:p w14:paraId="43D33FE8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b/>
                <w:color w:val="000000" w:themeColor="text1"/>
                <w:sz w:val="17"/>
                <w:lang w:val="es-ES_tradnl"/>
              </w:rPr>
              <w:t>Como se evidencia en el caso</w:t>
            </w:r>
          </w:p>
        </w:tc>
      </w:tr>
      <w:tr w:rsidR="00DC1BBC" w:rsidRPr="006074B6" w14:paraId="5A61E5BD" w14:textId="77777777" w:rsidTr="009F7A99">
        <w:tc>
          <w:tcPr>
            <w:tcW w:w="3005" w:type="dxa"/>
          </w:tcPr>
          <w:p w14:paraId="431D6059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Concepto y principios de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participacion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ciudadana (Subtema 1.1)</w:t>
            </w:r>
          </w:p>
        </w:tc>
        <w:tc>
          <w:tcPr>
            <w:tcW w:w="5102" w:type="dxa"/>
          </w:tcPr>
          <w:p w14:paraId="59061BB5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Marcela y Sofia pasan de observadoras a protagonistas. Transparencia, corresponsabilidad y pluralismo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guian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cada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accion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.</w:t>
            </w:r>
          </w:p>
        </w:tc>
      </w:tr>
      <w:tr w:rsidR="00DC1BBC" w:rsidRPr="006074B6" w14:paraId="770AC571" w14:textId="77777777" w:rsidTr="009F7A99">
        <w:tc>
          <w:tcPr>
            <w:tcW w:w="3005" w:type="dxa"/>
          </w:tcPr>
          <w:p w14:paraId="78B76E94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Dimensiones de la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participacion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(Subtema 1.1)</w:t>
            </w:r>
          </w:p>
        </w:tc>
        <w:tc>
          <w:tcPr>
            <w:tcW w:w="5102" w:type="dxa"/>
          </w:tcPr>
          <w:p w14:paraId="301A2BB0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Dimension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social: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veeduria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comunitaria.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Dimension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administrativa: Derecho de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Peticion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, Ficha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Tecnica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, informe CAE.</w:t>
            </w:r>
          </w:p>
        </w:tc>
      </w:tr>
      <w:tr w:rsidR="00DC1BBC" w:rsidRPr="006074B6" w14:paraId="4FDB1B3F" w14:textId="77777777" w:rsidTr="009F7A99">
        <w:tc>
          <w:tcPr>
            <w:tcW w:w="3005" w:type="dxa"/>
          </w:tcPr>
          <w:p w14:paraId="73457D54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Arts. 95, 103 y 270 C.P. 1991 (Subtema 1.2)</w:t>
            </w:r>
          </w:p>
        </w:tc>
        <w:tc>
          <w:tcPr>
            <w:tcW w:w="5102" w:type="dxa"/>
          </w:tcPr>
          <w:p w14:paraId="4BE5F454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CAE y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Veeduria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ejercen el deber del Art. 95; la Mesa Publica expresa el Art. 270 de control social de la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gestion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publica.</w:t>
            </w:r>
          </w:p>
        </w:tc>
      </w:tr>
      <w:tr w:rsidR="00DC1BBC" w:rsidRPr="006074B6" w14:paraId="47C98C08" w14:textId="77777777" w:rsidTr="009F7A99">
        <w:tc>
          <w:tcPr>
            <w:tcW w:w="3005" w:type="dxa"/>
          </w:tcPr>
          <w:p w14:paraId="23B12CD6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Diferencia control social /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veeduria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/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rendicion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de cuentas (Subtema 2.3)</w:t>
            </w:r>
          </w:p>
        </w:tc>
        <w:tc>
          <w:tcPr>
            <w:tcW w:w="5102" w:type="dxa"/>
          </w:tcPr>
          <w:p w14:paraId="5F11C543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CAE = control social institucional;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Veeduria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= mecanismo formal Ley 850/2003; ETC = obligada a rendir cuentas.</w:t>
            </w:r>
          </w:p>
        </w:tc>
      </w:tr>
      <w:tr w:rsidR="00DC1BBC" w:rsidRPr="006074B6" w14:paraId="4B7E0358" w14:textId="77777777" w:rsidTr="009F7A99">
        <w:tc>
          <w:tcPr>
            <w:tcW w:w="3005" w:type="dxa"/>
          </w:tcPr>
          <w:p w14:paraId="1A0DEFF1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Limites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del control social y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proteccion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de NNA (Subtema 2.1)</w:t>
            </w:r>
          </w:p>
        </w:tc>
        <w:tc>
          <w:tcPr>
            <w:tcW w:w="5102" w:type="dxa"/>
          </w:tcPr>
          <w:p w14:paraId="23BAACA5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Sin fotos de NNA sin consentimiento, sin ingreso a zonas de inocuidad sin protocolo; los ciudadanos reportan, el Estado sanciona.</w:t>
            </w:r>
          </w:p>
        </w:tc>
      </w:tr>
      <w:tr w:rsidR="00DC1BBC" w:rsidRPr="006074B6" w14:paraId="0A53C8DA" w14:textId="77777777" w:rsidTr="009F7A99">
        <w:tc>
          <w:tcPr>
            <w:tcW w:w="3005" w:type="dxa"/>
          </w:tcPr>
          <w:p w14:paraId="3C5312CC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Marco normativo: Leyes 850, 1712, 1755, 1757 / Decreto 1075 (Subtema 2.2)</w:t>
            </w:r>
          </w:p>
        </w:tc>
        <w:tc>
          <w:tcPr>
            <w:tcW w:w="5102" w:type="dxa"/>
          </w:tcPr>
          <w:p w14:paraId="5A04EF0E" w14:textId="77777777" w:rsidR="00DC1BBC" w:rsidRPr="006074B6" w:rsidRDefault="00000000">
            <w:pPr>
              <w:spacing w:before="40" w:after="40"/>
              <w:rPr>
                <w:color w:val="000000" w:themeColor="text1"/>
                <w:lang w:val="es-ES_tradnl"/>
              </w:rPr>
            </w:pPr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Cada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accion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esta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respaldada en norma concreta: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peticion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, acceso a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informacion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,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veeduria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y </w:t>
            </w:r>
            <w:proofErr w:type="spellStart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>rendicion</w:t>
            </w:r>
            <w:proofErr w:type="spellEnd"/>
            <w:r w:rsidRPr="006074B6">
              <w:rPr>
                <w:rFonts w:ascii="Calibri" w:hAnsi="Calibri"/>
                <w:color w:val="000000" w:themeColor="text1"/>
                <w:sz w:val="17"/>
                <w:lang w:val="es-ES_tradnl"/>
              </w:rPr>
              <w:t xml:space="preserve"> de cuentas.</w:t>
            </w:r>
          </w:p>
        </w:tc>
      </w:tr>
    </w:tbl>
    <w:p w14:paraId="64480EB1" w14:textId="0ECB1A7E" w:rsidR="00DC1BBC" w:rsidRPr="006074B6" w:rsidRDefault="00DC1BBC" w:rsidP="009F7A99">
      <w:pPr>
        <w:spacing w:before="60" w:after="60"/>
        <w:ind w:left="170" w:right="170"/>
        <w:rPr>
          <w:color w:val="000000" w:themeColor="text1"/>
          <w:lang w:val="es-ES_tradnl"/>
        </w:rPr>
      </w:pPr>
    </w:p>
    <w:sectPr w:rsidR="00DC1BBC" w:rsidRPr="006074B6" w:rsidSect="00034616">
      <w:footerReference w:type="default" r:id="rId8"/>
      <w:pgSz w:w="12240" w:h="15840"/>
      <w:pgMar w:top="1020" w:right="1247" w:bottom="1020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AD5A4" w14:textId="77777777" w:rsidR="00D52F5B" w:rsidRDefault="00D52F5B">
      <w:pPr>
        <w:spacing w:after="0" w:line="240" w:lineRule="auto"/>
      </w:pPr>
      <w:r>
        <w:separator/>
      </w:r>
    </w:p>
  </w:endnote>
  <w:endnote w:type="continuationSeparator" w:id="0">
    <w:p w14:paraId="68DE908B" w14:textId="77777777" w:rsidR="00D52F5B" w:rsidRDefault="00D52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95746" w14:textId="31B537CE" w:rsidR="00DC1BBC" w:rsidRDefault="00DC1BBC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0634A" w14:textId="77777777" w:rsidR="00D52F5B" w:rsidRDefault="00D52F5B">
      <w:pPr>
        <w:spacing w:after="0" w:line="240" w:lineRule="auto"/>
      </w:pPr>
      <w:r>
        <w:separator/>
      </w:r>
    </w:p>
  </w:footnote>
  <w:footnote w:type="continuationSeparator" w:id="0">
    <w:p w14:paraId="05CCC5C6" w14:textId="77777777" w:rsidR="00D52F5B" w:rsidRDefault="00D52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3585259">
    <w:abstractNumId w:val="8"/>
  </w:num>
  <w:num w:numId="2" w16cid:durableId="1286616893">
    <w:abstractNumId w:val="6"/>
  </w:num>
  <w:num w:numId="3" w16cid:durableId="1805612185">
    <w:abstractNumId w:val="5"/>
  </w:num>
  <w:num w:numId="4" w16cid:durableId="466705394">
    <w:abstractNumId w:val="4"/>
  </w:num>
  <w:num w:numId="5" w16cid:durableId="842932579">
    <w:abstractNumId w:val="7"/>
  </w:num>
  <w:num w:numId="6" w16cid:durableId="1379470622">
    <w:abstractNumId w:val="3"/>
  </w:num>
  <w:num w:numId="7" w16cid:durableId="165051396">
    <w:abstractNumId w:val="2"/>
  </w:num>
  <w:num w:numId="8" w16cid:durableId="1410537681">
    <w:abstractNumId w:val="1"/>
  </w:num>
  <w:num w:numId="9" w16cid:durableId="1681351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074B6"/>
    <w:rsid w:val="006454DF"/>
    <w:rsid w:val="009F7A99"/>
    <w:rsid w:val="00AA1D8D"/>
    <w:rsid w:val="00B47730"/>
    <w:rsid w:val="00CB0664"/>
    <w:rsid w:val="00D52F5B"/>
    <w:rsid w:val="00DC1BBC"/>
    <w:rsid w:val="00DE0F44"/>
    <w:rsid w:val="00F71C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B24EC"/>
  <w14:defaultImageDpi w14:val="300"/>
  <w15:docId w15:val="{D8616DB7-D6D5-4A46-A5A9-EC50BF0F3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3EF50D634152409E62760EDF6BDEB0" ma:contentTypeVersion="15" ma:contentTypeDescription="Crear nuevo documento." ma:contentTypeScope="" ma:versionID="c6bc2c54a29b2e142a91dc2cffd0463a">
  <xsd:schema xmlns:xsd="http://www.w3.org/2001/XMLSchema" xmlns:xs="http://www.w3.org/2001/XMLSchema" xmlns:p="http://schemas.microsoft.com/office/2006/metadata/properties" xmlns:ns2="edb2d03a-b0ac-4019-aba2-8f266c5a37b9" xmlns:ns3="dab95841-2a5b-4d06-988e-dcb998e97977" targetNamespace="http://schemas.microsoft.com/office/2006/metadata/properties" ma:root="true" ma:fieldsID="6b48c38da962a1ccb4cec0c8827d5c9f" ns2:_="" ns3:_="">
    <xsd:import namespace="edb2d03a-b0ac-4019-aba2-8f266c5a37b9"/>
    <xsd:import namespace="dab95841-2a5b-4d06-988e-dcb998e979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2d03a-b0ac-4019-aba2-8f266c5a3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f6cc16-641d-429b-a009-b19071f41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95841-2a5b-4d06-988e-dcb998e979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0af0f29-4adb-4655-8243-bcc732493e8a}" ma:internalName="TaxCatchAll" ma:showField="CatchAllData" ma:web="dab95841-2a5b-4d06-988e-dcb998e979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b2d03a-b0ac-4019-aba2-8f266c5a37b9">
      <Terms xmlns="http://schemas.microsoft.com/office/infopath/2007/PartnerControls"/>
    </lcf76f155ced4ddcb4097134ff3c332f>
    <TaxCatchAll xmlns="dab95841-2a5b-4d06-988e-dcb998e97977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3A34C-86A9-4F62-A5F1-6829CFA32FFD}"/>
</file>

<file path=customXml/itemProps3.xml><?xml version="1.0" encoding="utf-8"?>
<ds:datastoreItem xmlns:ds="http://schemas.openxmlformats.org/officeDocument/2006/customXml" ds:itemID="{39EEA464-CD75-4DF1-ACA2-5A3FE51E85BB}"/>
</file>

<file path=customXml/itemProps4.xml><?xml version="1.0" encoding="utf-8"?>
<ds:datastoreItem xmlns:ds="http://schemas.openxmlformats.org/officeDocument/2006/customXml" ds:itemID="{2CA6130F-629F-45B1-BFC1-7ED9E3BB84A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1034</Words>
  <Characters>5691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David Gerardo Bravo Esquinas</cp:lastModifiedBy>
  <cp:revision>3</cp:revision>
  <dcterms:created xsi:type="dcterms:W3CDTF">2026-06-17T19:59:00Z</dcterms:created>
  <dcterms:modified xsi:type="dcterms:W3CDTF">2026-06-17T19:59:00Z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0x010100233EF50D634152409E62760EDF6BDEB0</vt:lpwstr>
  </property>
</Properties>
</file>